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B93" w:rsidRPr="000D1B93" w:rsidRDefault="000D1B93" w:rsidP="000D1B93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  <w:r w:rsidRPr="000D1B93"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  <w:t>О национальных целях и стратегических задачах развития Российской Федерации на период до 2024 года (с изменениями на 19 июля 2018 года)</w:t>
      </w:r>
    </w:p>
    <w:p w:rsidR="000D1B93" w:rsidRPr="000D1B93" w:rsidRDefault="000D1B93" w:rsidP="000D1B93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0D1B93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УКАЗ</w:t>
      </w:r>
    </w:p>
    <w:p w:rsidR="000D1B93" w:rsidRPr="000D1B93" w:rsidRDefault="000D1B93" w:rsidP="000D1B93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0D1B93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ПРЕЗИДЕНТА РОССИЙСКОЙ ФЕДЕРАЦИИ</w:t>
      </w:r>
    </w:p>
    <w:p w:rsidR="000D1B93" w:rsidRPr="000D1B93" w:rsidRDefault="000D1B93" w:rsidP="000D1B93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0D1B93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О национальных целях и стратегических задачах развития Российской Федерации на период до 2024 года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 изменениями на 19 июля 2018 года)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____________________________________________________________________</w:t>
      </w: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Документ с изменениями, внесенными:</w:t>
      </w: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hyperlink r:id="rId4" w:history="1">
        <w:r w:rsidRPr="000D1B93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Указом Президента Российской Федерации от 19 июля 2018 года N 444</w:t>
        </w:r>
      </w:hyperlink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____________________________________________________________________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 целях осуществления прорывного научно-технологического и социально-экономического развития Российской Федерации, увеличения численности населения страны, повышения уровня жизни граждан, создания комфортных условий для их проживания, а также условий и возможностей для самореализации и раскрытия таланта каждого человека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постановляю: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 Правительству Российской Федерации обеспечить достижение следующих национальных целей развития Российской Федерации на период до 2024 года: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обеспечение устойчивого естественного роста численности населения Российской Федерации;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повышение ожидаемой продолжительности жизни до 78 лет (к 2030 году - до 80 лет);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обеспечение устойчивого роста реальных доходов граждан, а также роста уровня пенсионного обеспечения выше уровня инфляции;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снижение в два раза уровня бедности в Российской Федерации;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д) улучшение жилищных условий не менее 5 млн. семей ежегодно;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ускорение технологического развития Российской Федерации, увеличение количества организаций, осуществляющих технологические инновации, до 50 процентов от их общего числа;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ж) обеспечение ускоренного внедрения цифровых технологий в экономике и социальной сфере;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з) вхождение Российской Федерации в число пяти крупнейших экономик мира, обеспечение темпов экономического роста выше мировых при сохранении макроэкономической стабильности, в том числе инфляции на уровне, не превышающем 4 процентов;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и) создание в базовых отраслях экономики, прежде всего в обрабатывающей промышленности и агропромышленном комплексе, высокопроизводительного экспортно </w:t>
      </w: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ориентированного сектора, развивающегося на основе современных технологий и обеспеченного высококвалифицированными кадрами.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 Правительству Российской Федерации: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утвердить до 1 октября 2018 г. Основные направления деятельности Правительства Российской Федерации на период до 2024 года и прогноз социально-экономического развития Российской Федерации на период до 2024 года, предусмотрев механизмы и ресурсное обеспечение достижения национальных целей, определенных пунктом 1 настоящего Указа;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в соответствии с национальными целями, определенными пунктом 1 настоящего Указа, разработать (скорректировать) совместно с органами государственной власти субъектов Российской Федерации и представить до 1 октября 2018 г. для рассмотрения на заседании Совета при Президенте Российской Федерации по стратегическому развитию и национальным проектам национальные проекты (программы) по следующим направлениям:</w:t>
      </w: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(Абзац в редакции, введенной в действие </w:t>
      </w:r>
      <w:hyperlink r:id="rId5" w:history="1">
        <w:r w:rsidRPr="000D1B93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Указом Президента Российской Федерации от 19 июля 2018 года N 444</w:t>
        </w:r>
      </w:hyperlink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демография;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здравоохранение;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образование;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жилье и городская среда;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экология;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безопасные и качественные автомобильные дороги;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производительность труда и поддержка занятости;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наука;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цифровая экономика;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культура;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малое и среднее предпринимательство и поддержка индивидуальной предпринимательской инициативы;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международная кооперация и экспорт.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3. Правительству Российской Федерации при разработке национальной программы в сфере демографического развития исходить из того, что в 2024 году необходимо обеспечить: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достижение следующих целей и целевых показателей: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увеличение ожидаемой продолжительности здоровой жизни до 67 лет;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увеличение суммарного коэффициента рождаемости до 1,7;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увеличение доли граждан, ведущих здоровый образ жизни, а также увеличение до 55 процентов доли граждан, систематически занимающихся физической культурой и спортом;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решение следующих задач: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внедрение механизма финансовой поддержки семей при рождении детей;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условий для осуществления трудовой деятельности женщин, имеющих детей, включая достижение 100-процентной доступности (к 2021 году) дошкольного образования для детей в возрасте до трех лет;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разработка и реализация программы системной поддержки и повышения качества жизни граждан старшего поколения;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формирование системы мотивации граждан к здоровому образу жизни, включая здоровое питание и отказ от вредных привычек;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резерва.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4. Правительству Российской Федерации при разработке национального проекта в сфере здравоохранения исходить из того, что в 2024 году необходимо обеспечить: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достижение следующих целей и целевых показателей: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снижение показателей смертности населения трудоспособного возраста (до 350 случаев на 100 тыс. населения), смертности от болезней системы кровообращения (до 450 случаев на 100 тыс. населения), смертности от новообразований, в том числе от злокачественных (до 185 случаев на 100 тыс. населения), младенческой смертности (до 4,5 случая на 1 тыс. родившихся детей);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ликвидация кадрового дефицита в медицинских организациях, оказывающих первичную медико-санитарную помощь;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обеспечение охвата всех граждан профилактическими медицинскими осмотрами не реже одного раза в год;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обеспечение оптимальной доступности для населения (в том числе для жителей населенных пунктов, расположенных в отдаленных местностях) медицинских организаций, оказывающих первичную медико-санитарную помощь;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оптимизация работы медицинских организаций, оказывающих первичную медико-санитарную помощь, сокращение времени ожидания в очереди при обращении граждан в указанные медицинские организации, упрощение процедуры записи на прием к врачу;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увеличение объема экспорта медицинских услуг не менее чем в четыре раза по сравнению с 2017 годом (до 1 млрд. долларов США в год);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решение следующих задач: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завершение формирования сети медицинских организаций первичного звена здравоохранения с использованием в сфере здравоохранения геоинформационной системы с учетом необходимости строительства врачебных амбулаторий, фельдшерских и фельдшерско-акушерских пунктов в населенных пунктах с численностью населения от 100 человек до 2 тыс. человек, а также с учетом использования мобильных медицинских комплексов в населенных пунктах с численностью населения менее 100 человек;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завершение формирования сети национальных медицинских исследовательских центров;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механизмов взаимодействия медицинских организаций на основе единой государственной информационной системы в сфере здравоохранения;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внедрение инновационных медицинских технологий, включая систему ранней диагностики и дистанционный мониторинг состояния здоровья пациентов;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обеспечение медицинских организаций системы здравоохранения квалифицированными кадрами, включая внедрение системы непрерывного образования медицинских работников, в том числе с использованием дистанционных образовательных технологий;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внедрение клинических рекомендаций и протоколов лечения и их использование в целях формирования тарифов на оплату медицинской помощи;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разработка и реализация программ борьбы с онкологическими заболеваниями, сердечно-сосудистыми заболеваниями, развития детского здравоохранения, включая создание современной инфраструктуры оказания медицинской помощи детям;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формирование системы защиты прав пациентов;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совершенствование механизма экспорта медицинских услуг.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5. Правительству Российской Федерации при разработке национального проекта в сфере образования исходить из того, что в 2024 году необходимо обеспечить: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достижение следующих целей и целевых показателей: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обеспечение глобальной конкурентоспособности российского образования, вхождение Российской Федерации в число 10 ведущих стран мира по качеству общего образования;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решение следующих задач: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внедрение на уровнях основного общего и среднего общего образования новых методов обучения и воспитания, образовательных технологий, обеспечивающих освоение обучающимися базовых навыков и умений, повышение их мотивации к обучению и вовлеченности в образовательный процесс, а также обновление содержания и совершенствование методов обучения предметной области "Технология";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условий для раннего развития детей в возрасте до трех лет, реализация программы психолого-педагогической, методической и консультативной помощи родителям детей, получающих дошкольное образование в семье;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современной и безопасной цифровой образовательной среды, обеспечивающей высокое качество и доступность образования всех видов и уровней;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внедрение национальной системы профессионального роста педагогических работников, охватывающей не менее 50 процентов учителей общеобразовательных организаций;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модернизация профессионального образования, в том числе посредством внедрения адаптивных, практико-ориентированных и гибких образовательных программ;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навыков, включая овладение компетенциями в области цифровой экономики всеми желающими;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формирование системы профессиональных конкурсов в целях предоставления гражданам возможностей для профессионального и карьерного роста;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условий для развития наставничества, поддержки общественных инициатив и проектов, в том числе в сфере добровольчества (волонтерства);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увеличение не менее чем в два раза количества иностранных граждан, обучающихся в образовательных организациях высшего образования и научных организациях, а также реализация комплекса мер по трудоустройству лучших из них в Российской Федерации.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6. Правительству Российской Федерации при разработке национального проекта в сфере жилья и городской среды исходить из того, что в 2024 году необходимо обеспечить: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достижение следующих целей и целевых показателей: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обеспечение доступным жильем семей со средним достатком, в том числе создание возможностей для приобретения (строительства) ими жилья с использованием ипотечного кредита, ставка по которому должна быть менее 8 процентов;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увеличение объема жилищного строительства не менее чем до 120 млн. квадратных метров в год;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кардинальное повышение комфортности городской среды, повышение индекса качества городской среды на 30 процентов, сокращение в соответствии с этим индексом количества городов с неблагоприятной средой в два раза;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механизма прямого участия граждан в формировании комфортной городской среды, увеличение доли граждан, принимающих участие в решении вопросов развития городской среды, до 30 процентов;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обеспечение устойчивого сокращения непригодного для проживания жилищного фонда;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решение следующих задач: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совершенствование механизмов финансирования жилищного строительства, в том числе посредством развития рынка ипотечных ценных бумаг и поэтапного перехода от привлечения денежных средств для долевого строительства многоквартирных домов и иных объектов недвижимости к другим формам финансирования жилищного строительства, обеспечивающим защиту прав граждан и снижение рисков для них;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модернизация строительной отрасли и повышение качества индустриального жилищного строительства, в том числе посредством установления ограничений на использование устаревших технологий и стимулирования внедрения передовых технологий в проектировании и строительстве, совершенствование механизмов государственной поддержки строительства стандартного жилья;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снижение административной нагрузки на застройщиков, совершенствование нормативно-правовой базы и порядка регулирования деятельности в сфере жилищного строительства;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обеспечение эффективного использования земель в целях массового жилищного строительства при условии сохранения и развития зеленого фонда и территорий, на которых располагаются природные объекты, имеющие экологическое, историко-культурное, рекреационное, оздоровительное и иное ценное значение;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механизмов развития комфортной городской среды, комплексного развития городов и других населенных пунктов с учетом индекса качества городской среды;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механизмов переселения граждан из непригодного для проживания жилищного фонда, обеспечивающих соблюдение их жилищных прав, установленных законодательством Российской Федерации.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7. Правительству Российской Федерации при разработке национального проекта в сфере экологии исходить из того, что в 2024 году необходимо обеспечить: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достижение следующих целей и целевых показателей: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эффективное обращение с отходами производства и потребления, включая ликвидацию всех выявленных на 1 января 2018 г. несанкционированных свалок в границах городов;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кардинальное снижение уровня загрязнения атмосферного воздуха в крупных промышленных центрах, в том числе уменьшение не менее чем на 20 процентов совокупного объема выбросов загрязняющих веществ в атмосферный воздух в наиболее загрязненных городах;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повышение качества питьевой воды для населения, в том числе для жителей населенных пунктов, не оборудованных современными системами централизованного водоснабжения;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экологическое оздоровление водных объектов, включая реку Волгу, и сохранение уникальных водных систем, включая озера Байкал и Телецкое;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сохранение биологического разнообразия, в том числе посредством создания не менее 24 новых особо охраняемых природных территорий;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решение следующих задач: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формирование комплексной системы обращения с твердыми коммунальными отходами, включая ликвидацию свалок и рекультивацию территорий, на которых они размещены, создание условий для вторичной переработки всех запрещенных к захоронению отходов производства и потребления;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и эффективное функционирование во всех субъектах Российской Федерации системы общественного контроля, направленной на выявление и ликвидацию несанкционированных свалок;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современной инфраструктуры, обеспечивающей безопасное обращение с отходами I и II классов опасности, и ликвидация наиболее опасных объектов накопленного экологического вреда;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реализация комплексных планов мероприятий по снижению выбросов загрязняющих веществ в атмосферный воздух в крупных промышленных центрах, включая города Братск, Красноярск, Липецк, Магнитогорск, Медногорск, Нижний Тагил, Новокузнецк, Норильск, Омск, Челябинск, Череповец и Читу, с учетом сводных расчетов допустимого в этих городах негативного воздействия на окружающую среду;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применение всеми объектами, оказывающими значительное негативное воздействие на окружающую среду, системы экологического регулирования, основанной на использовании наилучших доступных технологий;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повышение качества питьевой воды посредством модернизации систем водоснабжения с использованием перспективных технологий водоподготовки, включая технологии, разработанные организациями оборонно-промышленного комплекса;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экологическая реабилитация водных объектов, в том числе реализация проекта, направленного на сокращение в три раза доли загрязненных сточных вод, отводимых в реку Волгу, устойчивое функционирование водохозяйственного комплекса Нижней Волги и сохранение экосистемы Волго-Ахтубинской поймы;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сохранение уникальных водных объектов, в том числе реализация проекта по сохранению озера Байкал, а также мероприятий по очистке от мусора берегов и прибрежной акватории озер Байкал, Телецкое, Ладожское, Онежское и рек Волги, Дона, Оби, Енисея, Амура, Урала, Печоры;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сохранение биологического разнообразия, включая увеличение площади особо охраняемых природных территорий на 5 млн. гектаров, реинтродукцию редких видов животных, создание инфраструктуры для экологического туризма в национальных парках, а также сохранение лесов, в том числе на основе их воспроизводства на всех участках вырубленных и погибших лесных насаждений.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8. Правительству Российской Федерации при разработке национального проекта по созданию безопасных и качественных автомобильных дорог исходить из того, что в 2024 году необходимо обеспечить: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достижение следующих целей и целевых показателей: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увеличение доли автомобильных дорог регионального значения, соответствующих нормативным требованиям, в их общей протяженности не менее чем до 50 процентов (относительно их протяженности по состоянию на 31 декабря 2017 г.), а также утверждение органами государственной власти субъектов Российской Федерации таких нормативов исходя из установленных на федеральном уровне требований безопасности автомобильных дорог;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снижение доли автомобильных дорог федерального и регионального значения, работающих в режиме перегрузки, в их общей протяженности на 10 процентов по сравнению с 2017 годом;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снижение количества мест концентрации дорожно-транспортных происшествий (аварийно-опасных участков) на дорожной сети в два раза по сравнению с 2017 годом;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снижение смертности в результате дорожно-транспортных происшествий в 3,5 раза по сравнению с 2017 годом - до уровня, не превышающего четырех человек на 100 тыс. населения (к 2030 году - стремление к нулевому уровню смертности);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решение следующих задач: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доведение в крупнейших городских агломерациях доли автомобильных дорог, соответствующих нормативным требованиям, в их общей протяженности до 85 процентов;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применение новых механизмов развития и эксплуатации дорожной сети, включая использование инфраструктурной ипотеки, контрактов жизненного цикла, наилучших технологий и материалов;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доведение норматива зачисления налоговых доходов бюджетов субъектов Российской Федерации от акцизов на горюче-смазочные материалы до 100 процентов;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внедрение общедоступной информационной системы контроля за формированием и использованием средств дорожных фондов всех уровней (в 2019 году);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механизмов экономического стимулирования сохранности автомобильных дорог регионального и местного значения;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внедрение новых технических требований и стандартов обустройства автомобильных дорог, в том числе на основе цифровых технологий, направленных на устранение мест концентрации дорожно-транспортных происшествий;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внедрение автоматизированных и роботизированных технологий организации дорожного движения и контроля за соблюдением </w:t>
      </w:r>
      <w:hyperlink r:id="rId6" w:history="1">
        <w:r w:rsidRPr="000D1B93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правил дорожного движения</w:t>
        </w:r>
      </w:hyperlink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усиление ответственности водителей за нарушение </w:t>
      </w:r>
      <w:hyperlink r:id="rId7" w:history="1">
        <w:r w:rsidRPr="000D1B93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правил дорожного движения</w:t>
        </w:r>
      </w:hyperlink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а также повышение требований к уровню их профессиональной подготовки.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9. Правительству Российской Федерации при реализации совместно с органами государственной власти субъектов Российской Федерации национальной программы в сфере повышения производительности труда и поддержки занятости обеспечить в 2024 году: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достижение следующих целей и целевых показателей: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рост производительности труда на средних и крупных предприятиях базовых несырьевых отраслей экономики не ниже 5 процентов в год;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привлечение к участию в реализации указанной национальной программы не менее 10 субъектов Российской Федерации ежегодно;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вовлечение в реализацию указанной национальной программы не менее 10 тыс. средних и крупных предприятий базовых несырьевых отраслей экономики;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решение следующих задач: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стимулирование внедрения передовых управленческих, организационных и технологических решений для повышения производительности труда и модернизации основных фондов, в том числе посредством предоставления налоговых преференций;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сокращение нормативно-правовых и административных ограничений, препятствующих росту производительности труда, а также замещение устаревших и непроизводительных рабочих мест;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формирование системы методической и организационной поддержки повышения производительности труда на предприятиях;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формирование системы подготовки кадров, направленной на обучение основам повышения производительности труда, в том числе посредством использования цифровых технологий и платформенных решений.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10. Правительству Российской Федерации при разработке национального проекта в сфере науки исходить из того, что в 2024 году необходимо обеспечить: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достижение следующих целей и целевых показателей: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обеспечение присутствия Российской Федерации в числе пяти ведущих стран мира, осуществляющих научные исследования и разработки в областях, определяемых приоритетами научно-технологического развития;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обеспечение привлекательности работы в Российской Федерации для российских и зарубежных ведущих ученых и молодых перспективных исследователей;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опережающее увеличение внутренних затрат на научные исследования и разработки за счет всех источников по сравнению с ростом валового внутреннего продукта страны;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решение следующих задач: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передовой инфраструктуры научных исследований и разработок, инновационной деятельности, включая создание и развитие сети уникальных научных установок класса "мегасайенс";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обновление не менее 50 процентов приборной базы ведущих организаций, выполняющих научные исследования и разработки;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научных центров мирового уровня, включая сеть международных математических центров и центров геномных исследований;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не менее 15 научно-образовательных центров мирового уровня на основе интеграции университетов и научных организаций и их кооперации с организациями, действующими в реальном секторе экономики;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формирование целостной системы подготовки и профессионального роста научных и научно-педагогических кадров, обеспечивающей условия для осуществления молодыми учеными научных исследований и разработок, создания научных лабораторий и конкурентоспособных коллективов.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11. Правительству Российской Федерации при реализации совместно с органами государственной власти субъектов Российской Федерации национальной </w:t>
      </w:r>
      <w:hyperlink r:id="rId8" w:history="1">
        <w:r w:rsidRPr="000D1B93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программы "Цифровая экономика Российской Федерации"</w:t>
        </w:r>
      </w:hyperlink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обеспечить в 2024 году: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достижение следующих целей и целевых показателей: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увеличение внутренних затрат на развитие цифровой экономики за счет всех источников (по доле в валовом внутреннем продукте страны) не менее чем в три раза по сравнению с 2017 годом;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всех организаций и домохозяйств;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использование преимущественно отечественного программного обеспечения государственными органами, органами местного самоуправления и организациями;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решение следующих задач: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системы правового регулирования цифровой экономики, основанного на гибком подходе в каждой сфере, а также внедрение гражданского оборота на базе цифровых технологий;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создание глобальной конкурентоспособной инфраструктуры передачи, обработки и хранения данных преимущественно на основе отечественных разработок;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обеспечение подготовки высококвалифицированных кадров для цифровой экономики;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обеспечение информационной безопасности на основе отечественных разработок при передаче, обработке и хранении данных, гарантирующей защиту интересов личности, бизнеса и государства;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сквозных цифровых технологий преимущественно на основе отечественных разработок;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внедрение цифровых технологий и платформенных решений в сферах государственного управления и оказания государственных услуг, в том числе в интересах населения и субъектов малого и среднего предпринимательства, включая индивидуальных предпринимателей;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преобразование приоритетных отраслей экономики и социальной сферы, включая здравоохранение, образование, промышленность, сельское хозяйство, строительство, городское хозяйство, транспортную и энергетическую инфраструктуру, финансовые услуги, посредством внедрения цифровых технологий и платформенных решений;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комплексной системы финансирования проектов по разработке и (или) внедрению цифровых технологий и платформенных решений, включающей в себя венчурное финансирование и иные институты развития;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разработка и внедрение национального механизма осуществления согласованной политики государств - членов Евразийского экономического союза при реализации планов в области развития цифровой экономики.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12. Правительству Российской Федерации при разработке национальной программы в сфере культуры обратить особое внимание на необходимость: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укрепления российской гражданской идентичности на основе духовно-нравственных и культурных ценностей народов Российской Федерации;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создания (реконструкции) культурно-образовательных и музейных комплексов, включающих в себя концертные залы, театральные, музыкальные, хореографические и другие творческие школы, а также выставочные пространства;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обеспечения детских музыкальных, художественных, хореографических школ, училищ и школ искусств необходимыми инструментами, оборудованием и материалами;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продвижения талантливой молодежи в сфере музыкального искусства, в том числе посредством создания национального молодежного симфонического оркестра;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д) создания (реконструкции) культурно-досуговых организаций клубного типа на территориях сельских поселений, развития муниципальных библиотек;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создания виртуальных концертных залов не менее чем в 500 городах Российской Федерации;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ж) создания условий для показа национальных кинофильмов в кинозалах, расположенных в населенных пунктах с численностью населения до 500 тыс. человек;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з) подготовки кадров для организаций культуры;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и) модернизации региональных и муниципальных театров юного зрителя и кукольных театров путем их реконструкции и капитального ремонта;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к) поддержки добровольческих движений, в том числе в сфере сохранения культурного наследия народов Российской Федерации.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13. Правительству Российской Федерации при реализации совместно с органами государственной власти субъектов Российской Федерации национального проекта в сфере </w:t>
      </w: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развития малого и среднего предпринимательства и поддержки индивидуальной предпринимательской инициативы обеспечить в 2024 году: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достижение следующего целевого показателя: увеличение численности занятых в сфере малого и среднего предпринимательства, включая индивидуальных предпринимателей, до 25 млн. человек;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решение следующих задач: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улучшение условий ведения предпринимательской деятельности, включая упрощение налоговой отчетности для предпринимателей, применяющих контрольно-кассовую технику;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цифровой платформы, ориентированной на поддержку производственной и сбытовой деятельности субъектов малого и среднего предпринимательства, включая индивидуальных предпринимателей;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совершенствование системы закупок, осуществляемых крупнейшими заказчиками у субъектов малого и среднего предпринимательства, включая индивидуальных предпринимателей;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упрощение доступа к льготному финансированию, в том числе ежегодное увеличение объема льготных кредитов, выдаваемых субъектам малого и среднего предпринимательства, включая индивидуальных предпринимателей;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системы акселерации субъектов малого и среднего предпринимательства, включая индивидуальных предпринимателей, в том числе инфраструктуры и сервисов поддержки, а также их ускоренное развитие в таких областях, как благоустройство городской среды, научно-технологическая сфера, социальная сфера и экология;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модернизация системы поддержки экспортеров, являющихся субъектами малого и среднего предпринимательства, включая индивидуальных предпринимателей, увеличение доли таких экспортеров в общем объеме несырьевого экспорта не менее чем до 10 процентов;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системы поддержки фермеров и развитие сельской кооперации;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обеспечение благоприятных условий осуществления деятельности самозанятыми гражданами посредством создания нового режима налогообложения, предусматривающего передачу информации о продажах в налоговые органы Российской Федерации в автоматическом режиме, освобождение от обязанности представлять отчетность, а также уплату единого платежа с выручки, включающего в себя страховые взносы.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14. Правительству Российской Федерации при разработке национальной программы в сфере развития международной кооперации и экспорта исходить из того, что в 2024 году необходимо обеспечить: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достижение следующих целей и целевых показателей: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формирование в обрабатывающей промышленности, сельском хозяйстве, сфере услуг глобальных конкурентоспособных несырьевых секторов, общая доля экспорта товаров (работ, услуг) которых составит не менее 20 процентов валового внутреннего продукта страны;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достижение объема экспорта (в стоимостном выражении) несырьевых неэнергетических товаров в размере 250 млрд. долларов США в год, в том числе продукции машиностроения - 50 млрд. долларов США в год и продукции агропромышленного комплекса - 45 млрд. долларов США в год, а также объема экспорта оказываемых услуг в размере 100 млрд. долларов США в год;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формирование эффективной системы разделения труда и производственной кооперации в рамках Евразийского экономического союза в целях увеличения объема торговли между </w:t>
      </w: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государствами - членами Союза не менее чем в полтора раза и обеспечения роста объема накопленных взаимных инвестиций в полтора раза;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решение следующих задач: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ориентация промышленной, аграрной и торговой политики, включая применяемые механизмы государственной поддержки, на достижение международной конкурентоспособности российских товаров (работ, услуг) в целях обеспечения их присутствия на внешних рынках;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сокращение административных процедур и барьеров в сфере международной торговли, включая отмену избыточных требований при лицензировании экспорта и осуществлении валютного контроля, организация (к 2021 году) взаимодействия субъектов международной торговли с контролирующими органами по принципу "одного окна";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завершение создания гибкой линейки финансовых инструментов поддержки экспорта (к 2021 году), включая расширенное предэкспортное, экспортное и акционерное финансирование, лизинг и долгосрочные меры поддержки;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устранение логистических ограничений при экспорте товаров с использованием железнодорожного, автомобильного и морского транспорта, а также строительство (модернизация) пунктов пропуска через государственную границу Российской Федерации;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создание единой системы институтов продвижения экспорта, предусматривающей модернизацию торговых представительств Российской Федерации за рубежом;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завершение формирования в рамках Евразийского экономического союза общих рынков товаров, услуг, капитала и рабочей силы, включая окончательное устранение барьеров, ограничений и отмену изъятий в экономическом сотрудничестве, при одновременном активном использовании механизмов совместной проектной деятельности.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15. Правительству Российской Федерации на основе стратегии пространственного развития Российской Федерации разработать с участием органов государственной власти субъектов Российской Федерации и до 1 октября 2018 г. утвердить комплексный план модернизации и расширения магистральной инфраструктуры, предусматривающий обеспечение в 2024 году: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развития транспортных коридоров "Запад - Восток" и "Север - Юг" для перевозки грузов, в том числе за счет: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строительства и модернизации российских участков автомобильных дорог, относящихся к международному транспортному маршруту "Европа - Западный Китай";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увеличения мощностей морских портов Российской Федерации, включая порты Дальневосточного, Северо-Западного, Волго-Каспийского и Азово-Черноморского бассейнов;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развития Северного морского пути и увеличения грузопотока по нему до 80 млн. тонн;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сокращения времени перевозки контейнеров железнодорожным транспортом, в частности с Дальнего Востока до западной границы Российской Федерации до семи дней, и увеличения объема транзитных перевозок контейнеров железнодорожным транспортом в четыре раза;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формирования узловых грузовых мультимодальных транспортно-логистических центров;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увеличения пропускной способности Байкало-Амурской и Транссибирской железнодорожных магистралей в полтора раза, до 180 млн. тонн;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увеличения пропускной способности железнодорожных подходов к морским портам Азово-Черноморского бассейна;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повышения уровня экономической связанности территории Российской Федерации посредством расширения и модернизации железнодорожной, авиационной, автодорожной, морской и речной инфраструктуры, в том числе за счет: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поэтапного развития транспортных коммуникаций между административными центрами субъектов Российской Федерации и другими городами - центрами экономического роста, включая ликвидацию инфраструктурных ограничений на имеющих перспективы развития территориях, прилегающих к таким транспортным коммуникациям;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реконструкции инфраструктуры региональных аэропортов и расширения сети межрегиональных регулярных пассажирских авиационных маршрутов, минуя Москву, до 50 процентов от общего количества внутренних регулярных авиационных маршрутов;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создания основы для развития скоростного и высокоскоростного железнодорожного сообщения между крупными городами;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увеличения пропускной способности внутренних водных путей;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гарантированного обеспечения доступной электроэнергией, в том числе за счет: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электрификации транспортных коридоров "Запад - Восток" и "Север - Юг", включая Байкало-Амурскую и Транссибирскую железнодорожные магистрали, во взаимосвязи с развитием транспортной инфраструктуры;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развития централизованных энергосистем, включая модернизацию генерирующих мощностей тепловых, атомных и гидроэлектростанций в соответствии с потребностями социально-экономического развития;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устойчивого энергоснабжения потребителей на территориях субъектов Российской Федерации, прежде всего Республики Крым, г.Севастополя, Калининградской области, а также субъектов Российской Федерации, входящих в состав Дальневосточного федерального округа;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развития распределенной генерации, в том числе на основе возобновляемых источников энергии, в первую очередь в удаленных и изолированных энергорайонах;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внедрения интеллектуальных систем управления электросетевым хозяйством на базе цифровых технологий.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16. Правительству Российской Федерации: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ежегодно при формировании проекта федерального бюджета на очередной финансовый год и на плановый период предусматривать в приоритетном порядке бюджетные ассигнования федерального бюджета на реализацию национальных проектов (программ), названных в подпункте "б" пункта 2 настоящего Указа;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обеспечить направление в приоритетном порядке дополнительных доходов федерального бюджета, образующихся в ходе его исполнения, на реализацию национальных проектов (программ), названных в подпункте "б" пункта 2 настоящего Указа.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17. Настоящий Указ вступает в силу со дня его официального опубликования.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Президент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Российской Федерации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В.Путин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Москва, Кремль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7 мая 2018 года</w:t>
      </w:r>
    </w:p>
    <w:p w:rsidR="000D1B93" w:rsidRPr="000D1B93" w:rsidRDefault="000D1B93" w:rsidP="000D1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0D1B9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N 204</w:t>
      </w:r>
    </w:p>
    <w:p w:rsidR="00CF2EEE" w:rsidRDefault="000D1B93">
      <w:bookmarkStart w:id="0" w:name="_GoBack"/>
      <w:bookmarkEnd w:id="0"/>
    </w:p>
    <w:sectPr w:rsidR="00CF2E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B93"/>
    <w:rsid w:val="000D1B93"/>
    <w:rsid w:val="00DF302F"/>
    <w:rsid w:val="00DF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287BC6-763A-4008-84A2-D92FA67C0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3675483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0483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04835" TargetMode="External"/><Relationship Id="rId5" Type="http://schemas.openxmlformats.org/officeDocument/2006/relationships/hyperlink" Target="http://docs.cntd.ru/document/55071255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docs.cntd.ru/document/55071255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5197</Words>
  <Characters>29626</Characters>
  <Application>Microsoft Office Word</Application>
  <DocSecurity>0</DocSecurity>
  <Lines>246</Lines>
  <Paragraphs>69</Paragraphs>
  <ScaleCrop>false</ScaleCrop>
  <Company/>
  <LinksUpToDate>false</LinksUpToDate>
  <CharactersWithSpaces>34754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saljeri 92</dc:creator>
  <cp:keywords/>
  <dc:description/>
  <cp:lastModifiedBy>saljeri 92</cp:lastModifiedBy>
  <cp:revision>1</cp:revision>
  <dcterms:created xsi:type="dcterms:W3CDTF">2019-11-21T05:11:00Z</dcterms:created>
  <dcterms:modified xsi:type="dcterms:W3CDTF">2019-11-21T05:11:00Z</dcterms:modified>
</cp:coreProperties>
</file>